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2020-2021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学年</w:t>
      </w:r>
      <w:r>
        <w:rPr>
          <w:rFonts w:hint="eastAsia" w:ascii="宋体" w:hAnsi="宋体"/>
          <w:b/>
          <w:sz w:val="36"/>
          <w:szCs w:val="36"/>
        </w:rPr>
        <w:t>博士研究生学业奖学金思想品德成绩评定表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02"/>
        <w:gridCol w:w="1276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</w:t>
            </w:r>
          </w:p>
        </w:tc>
        <w:tc>
          <w:tcPr>
            <w:tcW w:w="366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366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参评学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年内思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想品德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表现</w:t>
            </w:r>
          </w:p>
        </w:tc>
        <w:tc>
          <w:tcPr>
            <w:tcW w:w="834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</w:t>
            </w: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导师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评价</w:t>
            </w:r>
          </w:p>
        </w:tc>
        <w:tc>
          <w:tcPr>
            <w:tcW w:w="8346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思想品德成绩：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导师签字：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思想品德成绩由导师依据博士研究生参评学年内日常表现进行评定，采取百分制。8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分为优秀，7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84</w:t>
            </w:r>
            <w:r>
              <w:rPr>
                <w:rFonts w:hint="eastAsia" w:ascii="宋体" w:hAnsi="宋体"/>
                <w:szCs w:val="21"/>
              </w:rPr>
              <w:t>分为良好，6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74</w:t>
            </w:r>
            <w:r>
              <w:rPr>
                <w:rFonts w:hint="eastAsia" w:ascii="宋体" w:hAnsi="宋体"/>
                <w:szCs w:val="21"/>
              </w:rPr>
              <w:t>分为合格，6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分以下为不合格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/>
    <w:sectPr>
      <w:pgSz w:w="11906" w:h="16838"/>
      <w:pgMar w:top="1418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2021-09-19T13:53:19Z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ED00F8109B99482DBDF6372C25D2338A</vt:lpwstr>
  </property>
</Properties>
</file>